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5F419CF4" w:rsidR="00300021" w:rsidRPr="00300021" w:rsidRDefault="00300021" w:rsidP="00300021">
      <w:pPr>
        <w:rPr>
          <w:noProof/>
        </w:rPr>
      </w:pPr>
      <w:r w:rsidRPr="00300021">
        <w:rPr>
          <w:b/>
          <w:bCs/>
          <w:noProof/>
        </w:rPr>
        <w:t xml:space="preserve">DATE: </w:t>
      </w:r>
      <w:r>
        <w:rPr>
          <w:b/>
          <w:bCs/>
          <w:noProof/>
        </w:rPr>
        <w:tab/>
      </w:r>
      <w:r>
        <w:rPr>
          <w:b/>
          <w:bCs/>
          <w:noProof/>
        </w:rPr>
        <w:tab/>
      </w:r>
      <w:r w:rsidR="00F7670C">
        <w:rPr>
          <w:noProof/>
        </w:rPr>
        <w:t>December</w:t>
      </w:r>
      <w:r w:rsidR="003B2022">
        <w:rPr>
          <w:noProof/>
        </w:rPr>
        <w:t xml:space="preserve"> </w:t>
      </w:r>
      <w:r w:rsidR="00F7670C">
        <w:rPr>
          <w:noProof/>
        </w:rPr>
        <w:t>16</w:t>
      </w:r>
      <w:r w:rsidR="00E83D08">
        <w:rPr>
          <w:noProof/>
        </w:rPr>
        <w:t>, 2024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5434040" w14:textId="7898EC02" w:rsidR="009A4718" w:rsidRDefault="00F7670C" w:rsidP="00300021">
      <w:pPr>
        <w:rPr>
          <w:rFonts w:cstheme="minorHAnsi"/>
          <w:noProof/>
          <w:sz w:val="26"/>
          <w:szCs w:val="26"/>
        </w:rPr>
      </w:pPr>
      <w:r>
        <w:rPr>
          <w:rFonts w:cstheme="minorHAnsi"/>
          <w:b/>
          <w:bCs/>
          <w:i/>
          <w:iCs/>
          <w:noProof/>
          <w:sz w:val="28"/>
          <w:szCs w:val="28"/>
        </w:rPr>
        <w:t>Calibre Press</w:t>
      </w:r>
      <w:r w:rsidR="003B2022">
        <w:rPr>
          <w:rFonts w:cstheme="minorHAnsi"/>
          <w:b/>
          <w:bCs/>
          <w:i/>
          <w:iCs/>
          <w:noProof/>
          <w:sz w:val="28"/>
          <w:szCs w:val="28"/>
        </w:rPr>
        <w:t xml:space="preserve"> – </w:t>
      </w:r>
      <w:r>
        <w:rPr>
          <w:rFonts w:cstheme="minorHAnsi"/>
          <w:b/>
          <w:bCs/>
          <w:i/>
          <w:iCs/>
          <w:noProof/>
          <w:sz w:val="28"/>
          <w:szCs w:val="28"/>
        </w:rPr>
        <w:t xml:space="preserve">Avoiding Liability in Force Encounters and Search &amp; Seizure Activities </w:t>
      </w:r>
      <w:r w:rsidR="00300021" w:rsidRPr="00300021">
        <w:rPr>
          <w:rFonts w:cstheme="minorHAnsi"/>
          <w:noProof/>
          <w:sz w:val="26"/>
          <w:szCs w:val="26"/>
        </w:rPr>
        <w:t>will be held on</w:t>
      </w:r>
      <w:r w:rsidR="0027099D">
        <w:rPr>
          <w:rFonts w:cstheme="minorHAnsi"/>
          <w:noProof/>
          <w:sz w:val="26"/>
          <w:szCs w:val="26"/>
        </w:rPr>
        <w:t xml:space="preserve"> </w:t>
      </w:r>
      <w:r>
        <w:rPr>
          <w:rFonts w:cstheme="minorHAnsi"/>
          <w:b/>
          <w:bCs/>
          <w:noProof/>
          <w:sz w:val="26"/>
          <w:szCs w:val="26"/>
        </w:rPr>
        <w:t>February 24-25</w:t>
      </w:r>
      <w:r w:rsidRPr="00F7670C">
        <w:rPr>
          <w:rFonts w:cstheme="minorHAnsi"/>
          <w:b/>
          <w:bCs/>
          <w:noProof/>
          <w:sz w:val="26"/>
          <w:szCs w:val="26"/>
          <w:vertAlign w:val="superscript"/>
        </w:rPr>
        <w:t>th</w:t>
      </w:r>
      <w:r>
        <w:rPr>
          <w:rFonts w:cstheme="minorHAnsi"/>
          <w:b/>
          <w:bCs/>
          <w:noProof/>
          <w:sz w:val="26"/>
          <w:szCs w:val="26"/>
        </w:rPr>
        <w:t>, 2025</w:t>
      </w:r>
      <w:r w:rsidR="001B39AB">
        <w:rPr>
          <w:rFonts w:cstheme="minorHAnsi"/>
          <w:b/>
          <w:bCs/>
          <w:noProof/>
          <w:sz w:val="26"/>
          <w:szCs w:val="26"/>
        </w:rPr>
        <w:t xml:space="preserve"> </w:t>
      </w:r>
      <w:r w:rsidR="001B39AB" w:rsidRPr="001B39AB">
        <w:rPr>
          <w:rFonts w:cstheme="minorHAnsi"/>
          <w:noProof/>
          <w:sz w:val="26"/>
          <w:szCs w:val="26"/>
        </w:rPr>
        <w:t xml:space="preserve">at the </w:t>
      </w:r>
      <w:r w:rsidR="008021C9">
        <w:rPr>
          <w:rFonts w:cstheme="minorHAnsi"/>
          <w:noProof/>
          <w:sz w:val="26"/>
          <w:szCs w:val="26"/>
        </w:rPr>
        <w:t>ILEAS Training Center</w:t>
      </w:r>
      <w:r w:rsidR="00300021" w:rsidRPr="00300021">
        <w:rPr>
          <w:rFonts w:cstheme="minorHAnsi"/>
          <w:noProof/>
          <w:sz w:val="26"/>
          <w:szCs w:val="26"/>
        </w:rPr>
        <w:t xml:space="preserve">. </w:t>
      </w:r>
    </w:p>
    <w:p w14:paraId="1C58B6EB" w14:textId="145E7753" w:rsidR="005C4401" w:rsidRPr="00F7670C" w:rsidRDefault="00300021" w:rsidP="003B2022">
      <w:pPr>
        <w:rPr>
          <w:rFonts w:cstheme="minorHAnsi"/>
          <w:noProof/>
        </w:rPr>
      </w:pPr>
      <w:r w:rsidRPr="00F7670C">
        <w:rPr>
          <w:rFonts w:cstheme="minorHAnsi"/>
          <w:noProof/>
        </w:rPr>
        <w:t xml:space="preserve">This course is </w:t>
      </w:r>
      <w:r w:rsidR="0027099D" w:rsidRPr="00F7670C">
        <w:rPr>
          <w:rFonts w:cstheme="minorHAnsi"/>
          <w:noProof/>
        </w:rPr>
        <w:t>certifi</w:t>
      </w:r>
      <w:r w:rsidR="003B2022" w:rsidRPr="00F7670C">
        <w:rPr>
          <w:rFonts w:cstheme="minorHAnsi"/>
          <w:noProof/>
        </w:rPr>
        <w:t>ed</w:t>
      </w:r>
      <w:r w:rsidR="0027099D" w:rsidRPr="00F7670C">
        <w:rPr>
          <w:rFonts w:cstheme="minorHAnsi"/>
          <w:noProof/>
        </w:rPr>
        <w:t xml:space="preserve"> by the Illinois Law Enforcement Training and Standards Board</w:t>
      </w:r>
      <w:r w:rsidR="00BC384D" w:rsidRPr="00F7670C">
        <w:rPr>
          <w:rFonts w:cstheme="minorHAnsi"/>
          <w:noProof/>
        </w:rPr>
        <w:t xml:space="preserve"> for the following mandates:</w:t>
      </w:r>
    </w:p>
    <w:p w14:paraId="0FB7A586" w14:textId="6182B675" w:rsidR="00F7670C" w:rsidRPr="00F7670C" w:rsidRDefault="00F7670C" w:rsidP="002316F2">
      <w:pPr>
        <w:pStyle w:val="ListParagraph"/>
        <w:numPr>
          <w:ilvl w:val="0"/>
          <w:numId w:val="13"/>
        </w:numPr>
        <w:rPr>
          <w:rFonts w:cstheme="minorHAnsi"/>
          <w:noProof/>
        </w:rPr>
      </w:pPr>
      <w:r w:rsidRPr="00F7670C">
        <w:rPr>
          <w:rFonts w:cstheme="minorHAnsi"/>
          <w:noProof/>
        </w:rPr>
        <w:t>Civil Rights (6.0hrs)</w:t>
      </w:r>
    </w:p>
    <w:p w14:paraId="52E7D38B" w14:textId="7EFF8FE6" w:rsidR="00F7670C" w:rsidRPr="00F7670C" w:rsidRDefault="00F7670C" w:rsidP="002316F2">
      <w:pPr>
        <w:pStyle w:val="ListParagraph"/>
        <w:numPr>
          <w:ilvl w:val="0"/>
          <w:numId w:val="13"/>
        </w:numPr>
        <w:rPr>
          <w:rFonts w:cstheme="minorHAnsi"/>
          <w:noProof/>
        </w:rPr>
      </w:pPr>
      <w:r w:rsidRPr="00F7670C">
        <w:rPr>
          <w:rFonts w:cstheme="minorHAnsi"/>
          <w:noProof/>
        </w:rPr>
        <w:t>Constitutional Use of Law Enforcement Authority (2.0hrs)</w:t>
      </w:r>
    </w:p>
    <w:p w14:paraId="724E239F" w14:textId="13CA1655" w:rsidR="00E83D08" w:rsidRPr="00F7670C" w:rsidRDefault="00F7670C" w:rsidP="00F7670C">
      <w:pPr>
        <w:pStyle w:val="ListParagraph"/>
        <w:numPr>
          <w:ilvl w:val="0"/>
          <w:numId w:val="13"/>
        </w:numPr>
        <w:rPr>
          <w:rFonts w:cstheme="minorHAnsi"/>
          <w:noProof/>
        </w:rPr>
      </w:pPr>
      <w:r w:rsidRPr="00F7670C">
        <w:rPr>
          <w:rFonts w:cstheme="minorHAnsi"/>
          <w:noProof/>
        </w:rPr>
        <w:t>Procedural Justice (1.0hr)</w:t>
      </w:r>
    </w:p>
    <w:p w14:paraId="15A50FE3" w14:textId="5FBEEC48" w:rsidR="001B39AB" w:rsidRPr="00F7670C" w:rsidRDefault="00E83D08" w:rsidP="00895D88">
      <w:pPr>
        <w:pStyle w:val="ListParagraph"/>
        <w:numPr>
          <w:ilvl w:val="0"/>
          <w:numId w:val="13"/>
        </w:numPr>
        <w:rPr>
          <w:rFonts w:cstheme="minorHAnsi"/>
          <w:noProof/>
        </w:rPr>
      </w:pPr>
      <w:r w:rsidRPr="00F7670C">
        <w:rPr>
          <w:rFonts w:cstheme="minorHAnsi"/>
          <w:noProof/>
        </w:rPr>
        <w:t xml:space="preserve">Use of Force – De-Escalation Techniques </w:t>
      </w:r>
      <w:r w:rsidR="008021C9" w:rsidRPr="00F7670C">
        <w:rPr>
          <w:rFonts w:cstheme="minorHAnsi"/>
          <w:noProof/>
        </w:rPr>
        <w:t>(</w:t>
      </w:r>
      <w:r w:rsidR="00F7670C" w:rsidRPr="00F7670C">
        <w:rPr>
          <w:rFonts w:cstheme="minorHAnsi"/>
          <w:noProof/>
        </w:rPr>
        <w:t>4</w:t>
      </w:r>
      <w:r w:rsidRPr="00F7670C">
        <w:rPr>
          <w:rFonts w:cstheme="minorHAnsi"/>
          <w:noProof/>
        </w:rPr>
        <w:t>.0hrs)</w:t>
      </w:r>
    </w:p>
    <w:p w14:paraId="2BB6B8F2" w14:textId="538C131A" w:rsidR="00F7670C" w:rsidRPr="00F7670C" w:rsidRDefault="00F7670C" w:rsidP="00895D88">
      <w:pPr>
        <w:pStyle w:val="ListParagraph"/>
        <w:numPr>
          <w:ilvl w:val="0"/>
          <w:numId w:val="13"/>
        </w:numPr>
        <w:rPr>
          <w:rFonts w:cstheme="minorHAnsi"/>
          <w:noProof/>
        </w:rPr>
      </w:pPr>
      <w:r w:rsidRPr="00F7670C">
        <w:rPr>
          <w:rFonts w:cstheme="minorHAnsi"/>
          <w:noProof/>
        </w:rPr>
        <w:t>Use of Force – Las Concerning Stops, Searches and the Use of Force (2.0hrs)</w:t>
      </w:r>
    </w:p>
    <w:p w14:paraId="3377CC79" w14:textId="3B4D9EA1" w:rsidR="00E83D08" w:rsidRPr="00F7670C" w:rsidRDefault="00E83D08" w:rsidP="00895D88">
      <w:pPr>
        <w:pStyle w:val="ListParagraph"/>
        <w:numPr>
          <w:ilvl w:val="0"/>
          <w:numId w:val="13"/>
        </w:numPr>
        <w:rPr>
          <w:rFonts w:cstheme="minorHAnsi"/>
          <w:noProof/>
        </w:rPr>
      </w:pPr>
      <w:r w:rsidRPr="00F7670C">
        <w:rPr>
          <w:rFonts w:cstheme="minorHAnsi"/>
          <w:noProof/>
        </w:rPr>
        <w:t>Use of Force – Officer Safety Techniques including cover, concealment, and time (</w:t>
      </w:r>
      <w:r w:rsidR="00F7670C" w:rsidRPr="00F7670C">
        <w:rPr>
          <w:rFonts w:cstheme="minorHAnsi"/>
          <w:noProof/>
        </w:rPr>
        <w:t>1.0hr</w:t>
      </w:r>
      <w:r w:rsidRPr="00F7670C">
        <w:rPr>
          <w:rFonts w:cstheme="minorHAnsi"/>
          <w:noProof/>
        </w:rPr>
        <w:t>)</w:t>
      </w:r>
    </w:p>
    <w:p w14:paraId="676F7935" w14:textId="1BF8B1BD"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79D15CCA" w14:textId="77777777" w:rsidR="00F7670C" w:rsidRPr="00F7670C" w:rsidRDefault="00F7670C" w:rsidP="00F7670C">
      <w:pPr>
        <w:rPr>
          <w:noProof/>
          <w:sz w:val="26"/>
          <w:szCs w:val="26"/>
        </w:rPr>
      </w:pPr>
      <w:r w:rsidRPr="00F7670C">
        <w:rPr>
          <w:b/>
          <w:bCs/>
          <w:noProof/>
          <w:sz w:val="26"/>
          <w:szCs w:val="26"/>
          <w:u w:val="single"/>
        </w:rPr>
        <w:t>Day 1: Advanced Search &amp; Seizure</w:t>
      </w:r>
    </w:p>
    <w:p w14:paraId="6FE1BBC6" w14:textId="77855453" w:rsidR="00F7670C" w:rsidRPr="00F7670C" w:rsidRDefault="00F7670C" w:rsidP="00F7670C">
      <w:pPr>
        <w:rPr>
          <w:noProof/>
          <w:sz w:val="26"/>
          <w:szCs w:val="26"/>
        </w:rPr>
      </w:pPr>
      <w:r>
        <w:rPr>
          <w:noProof/>
          <w:sz w:val="26"/>
          <w:szCs w:val="26"/>
        </w:rPr>
        <w:t>A</w:t>
      </w:r>
      <w:r w:rsidRPr="00F7670C">
        <w:rPr>
          <w:noProof/>
          <w:sz w:val="26"/>
          <w:szCs w:val="26"/>
        </w:rPr>
        <w:t xml:space="preserve"> thorough, easily understood dissection of the laws surrounding a variety of searches and seizures. </w:t>
      </w:r>
    </w:p>
    <w:p w14:paraId="41ED87A7" w14:textId="77777777" w:rsidR="00F7670C" w:rsidRPr="00F7670C" w:rsidRDefault="00F7670C" w:rsidP="00F7670C">
      <w:pPr>
        <w:rPr>
          <w:noProof/>
          <w:sz w:val="26"/>
          <w:szCs w:val="26"/>
        </w:rPr>
      </w:pPr>
      <w:r w:rsidRPr="00F7670C">
        <w:rPr>
          <w:b/>
          <w:bCs/>
          <w:noProof/>
          <w:sz w:val="26"/>
          <w:szCs w:val="26"/>
          <w:u w:val="single"/>
        </w:rPr>
        <w:t>Day 2: Legally Justified; But Was it Avoidable?</w:t>
      </w:r>
    </w:p>
    <w:p w14:paraId="6DC8C8DD" w14:textId="40CCAAC5" w:rsidR="00F7670C" w:rsidRPr="00F7670C" w:rsidRDefault="00F7670C" w:rsidP="00F7670C">
      <w:pPr>
        <w:rPr>
          <w:noProof/>
          <w:sz w:val="26"/>
          <w:szCs w:val="26"/>
        </w:rPr>
      </w:pPr>
      <w:r w:rsidRPr="00F7670C">
        <w:rPr>
          <w:noProof/>
          <w:sz w:val="26"/>
          <w:szCs w:val="26"/>
        </w:rPr>
        <w:t>With a goal of avoiding the avoidable we should look backward from the moment force was used and honestly assess whether the officer, through action or lack of action, contributed to its ultimate need.</w:t>
      </w:r>
    </w:p>
    <w:p w14:paraId="4ACEC86F" w14:textId="77777777" w:rsidR="00F7670C" w:rsidRPr="00F7670C" w:rsidRDefault="00F7670C" w:rsidP="00F7670C">
      <w:pPr>
        <w:rPr>
          <w:noProof/>
          <w:sz w:val="26"/>
          <w:szCs w:val="26"/>
        </w:rPr>
      </w:pPr>
      <w:r w:rsidRPr="00F7670C">
        <w:rPr>
          <w:noProof/>
          <w:sz w:val="26"/>
          <w:szCs w:val="26"/>
        </w:rPr>
        <w:t>Throughout the day we will analyze dozens of recent force videos and dissect the behavior and interaction dynamics of both the offenders and officers. Specifically, we will consider if poor or ill-advised tactics, ineffective communication, a lack of personal control and/or a lack of preparedness to handle acute stress led the officer(s) to escalate the event unintentionally and unconsciously.</w:t>
      </w:r>
    </w:p>
    <w:p w14:paraId="3E0109BF" w14:textId="3B245180" w:rsidR="001D452C" w:rsidRDefault="003B2022" w:rsidP="00300021">
      <w:pPr>
        <w:rPr>
          <w:noProof/>
          <w:sz w:val="26"/>
          <w:szCs w:val="26"/>
        </w:rPr>
      </w:pPr>
      <w:r>
        <w:rPr>
          <w:noProof/>
          <w:sz w:val="26"/>
          <w:szCs w:val="26"/>
        </w:rPr>
        <w:t xml:space="preserve">This course is presented by </w:t>
      </w:r>
      <w:r w:rsidR="00F7670C">
        <w:rPr>
          <w:noProof/>
          <w:sz w:val="26"/>
          <w:szCs w:val="26"/>
        </w:rPr>
        <w:t>Calibre Press</w:t>
      </w:r>
      <w:r>
        <w:rPr>
          <w:noProof/>
          <w:sz w:val="26"/>
          <w:szCs w:val="26"/>
        </w:rPr>
        <w:t>.</w:t>
      </w:r>
    </w:p>
    <w:p w14:paraId="0A83CCF4" w14:textId="4931B1B9"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F7670C">
        <w:rPr>
          <w:b/>
          <w:bCs/>
          <w:noProof/>
          <w:sz w:val="26"/>
          <w:szCs w:val="26"/>
        </w:rPr>
        <w:t>February</w:t>
      </w:r>
      <w:r w:rsidR="008021C9">
        <w:rPr>
          <w:b/>
          <w:bCs/>
          <w:noProof/>
          <w:sz w:val="26"/>
          <w:szCs w:val="26"/>
        </w:rPr>
        <w:t xml:space="preserve"> </w:t>
      </w:r>
      <w:r w:rsidR="00F7670C">
        <w:rPr>
          <w:b/>
          <w:bCs/>
          <w:noProof/>
          <w:sz w:val="26"/>
          <w:szCs w:val="26"/>
        </w:rPr>
        <w:t>10</w:t>
      </w:r>
      <w:r w:rsidR="00F7670C" w:rsidRPr="00F7670C">
        <w:rPr>
          <w:b/>
          <w:bCs/>
          <w:noProof/>
          <w:sz w:val="26"/>
          <w:szCs w:val="26"/>
          <w:vertAlign w:val="superscript"/>
        </w:rPr>
        <w:t>th</w:t>
      </w:r>
      <w:r w:rsidR="00B743C5" w:rsidRPr="001A400D">
        <w:rPr>
          <w:noProof/>
          <w:sz w:val="26"/>
          <w:szCs w:val="26"/>
        </w:rPr>
        <w:t xml:space="preserve">.  </w:t>
      </w:r>
      <w:r w:rsidRPr="001A400D">
        <w:rPr>
          <w:noProof/>
          <w:sz w:val="26"/>
          <w:szCs w:val="26"/>
        </w:rPr>
        <w:t xml:space="preserve">  </w:t>
      </w:r>
    </w:p>
    <w:p w14:paraId="0C41AC72" w14:textId="4E81395A" w:rsidR="008021C9" w:rsidRDefault="008021C9" w:rsidP="00300021">
      <w:pPr>
        <w:rPr>
          <w:noProof/>
          <w:sz w:val="26"/>
          <w:szCs w:val="26"/>
        </w:rPr>
      </w:pP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07221B84" w14:textId="34B79B4F" w:rsidR="007652D6" w:rsidRDefault="00F7670C" w:rsidP="00B743C5">
      <w:pPr>
        <w:ind w:right="-360"/>
        <w:jc w:val="center"/>
        <w:rPr>
          <w:b/>
          <w:bCs/>
          <w:sz w:val="36"/>
          <w:szCs w:val="36"/>
        </w:rPr>
      </w:pPr>
      <w:r>
        <w:rPr>
          <w:b/>
          <w:bCs/>
          <w:sz w:val="36"/>
          <w:szCs w:val="36"/>
        </w:rPr>
        <w:t>Feb 24-25</w:t>
      </w:r>
      <w:r w:rsidRPr="00F7670C">
        <w:rPr>
          <w:b/>
          <w:bCs/>
          <w:sz w:val="36"/>
          <w:szCs w:val="36"/>
          <w:vertAlign w:val="superscript"/>
        </w:rPr>
        <w:t>th</w:t>
      </w:r>
      <w:r w:rsidR="003B2022">
        <w:rPr>
          <w:b/>
          <w:bCs/>
          <w:sz w:val="36"/>
          <w:szCs w:val="36"/>
        </w:rPr>
        <w:t>, 202</w:t>
      </w:r>
      <w:r>
        <w:rPr>
          <w:b/>
          <w:bCs/>
          <w:sz w:val="36"/>
          <w:szCs w:val="36"/>
        </w:rPr>
        <w:t>5</w:t>
      </w:r>
    </w:p>
    <w:p w14:paraId="460E2907" w14:textId="77777777" w:rsidR="00F7670C" w:rsidRDefault="00F7670C" w:rsidP="00037728">
      <w:pPr>
        <w:ind w:right="-360"/>
        <w:jc w:val="center"/>
        <w:rPr>
          <w:b/>
          <w:bCs/>
          <w:sz w:val="64"/>
          <w:szCs w:val="64"/>
          <w:u w:val="single"/>
        </w:rPr>
      </w:pPr>
      <w:r>
        <w:rPr>
          <w:b/>
          <w:bCs/>
          <w:sz w:val="64"/>
          <w:szCs w:val="64"/>
          <w:u w:val="single"/>
        </w:rPr>
        <w:t xml:space="preserve">Calibre Press </w:t>
      </w:r>
    </w:p>
    <w:p w14:paraId="5BB86F67" w14:textId="0D27CF56" w:rsidR="00037728" w:rsidRPr="008021C9" w:rsidRDefault="00F7670C" w:rsidP="00037728">
      <w:pPr>
        <w:ind w:right="-360"/>
        <w:jc w:val="center"/>
        <w:rPr>
          <w:b/>
          <w:bCs/>
          <w:sz w:val="64"/>
          <w:szCs w:val="64"/>
          <w:u w:val="single"/>
        </w:rPr>
      </w:pPr>
      <w:r w:rsidRPr="00F7670C">
        <w:rPr>
          <w:b/>
          <w:bCs/>
          <w:sz w:val="50"/>
          <w:szCs w:val="50"/>
          <w:u w:val="single"/>
        </w:rPr>
        <w:t>Avoiding Liability in Force Encounters and Search &amp; Seizure Activities</w:t>
      </w:r>
    </w:p>
    <w:p w14:paraId="10DF554B" w14:textId="77777777" w:rsidR="001B39AB" w:rsidRDefault="001B39AB" w:rsidP="001B39AB">
      <w:pPr>
        <w:ind w:left="720" w:right="-360"/>
        <w:rPr>
          <w:rFonts w:ascii="Helvetica" w:eastAsia="Times New Roman" w:hAnsi="Helvetica" w:cs="Helvetica"/>
          <w:color w:val="23292F"/>
          <w:sz w:val="27"/>
          <w:szCs w:val="27"/>
        </w:rPr>
      </w:pPr>
    </w:p>
    <w:p w14:paraId="336FDE49"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Detail the 3 Golden Rules of Search &amp; Seizure that better your chances of courtroom success.</w:t>
      </w:r>
    </w:p>
    <w:p w14:paraId="65AF5622"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Explore the factors that make a private search immune from Fourth Amendment reasonableness requirements.</w:t>
      </w:r>
    </w:p>
    <w:p w14:paraId="1288385C"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Explain the four “protected areas” shielded by the Fourth Amendment</w:t>
      </w:r>
    </w:p>
    <w:p w14:paraId="0EE6EB61"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Define the concept of “curtilage” and what you can and can’t do in those areas.</w:t>
      </w:r>
    </w:p>
    <w:p w14:paraId="4BE0A66E"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Help you learn to determine whether a search or seizure actually occurred. How do you decide?</w:t>
      </w:r>
    </w:p>
    <w:p w14:paraId="045D9AAA"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Explore the differences between a trespass search and a reasonable expectation of privacy search and their associated requirements.</w:t>
      </w:r>
    </w:p>
    <w:p w14:paraId="160310ED"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Discuss issues related to abandoned property; was abandonment intentional or inadvertent? Is lost property and/or garbage considered “abandoned”?</w:t>
      </w:r>
    </w:p>
    <w:p w14:paraId="0EAD0B2C"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Explain the parameters of warrantless searches.</w:t>
      </w:r>
    </w:p>
    <w:p w14:paraId="1F925DDE"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Analyzing whether force could have been avoided and the tactics and strategies that would have facilitated force avoidance.</w:t>
      </w:r>
    </w:p>
    <w:p w14:paraId="4D27E10B"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The impact of stress on officer behavior and decision-making and how it contributes to communication breakdown.</w:t>
      </w:r>
    </w:p>
    <w:p w14:paraId="0DF14335"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The importance of “controlling the temperature” of encounters and ensuring that things don’t become unnecessarily pressurized and combative.</w:t>
      </w:r>
    </w:p>
    <w:p w14:paraId="7BAC046B"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The power—and acceptability—of mid-event disengagement.</w:t>
      </w:r>
    </w:p>
    <w:p w14:paraId="1132779B" w14:textId="77777777" w:rsidR="00F7670C" w:rsidRPr="00F7670C" w:rsidRDefault="00F7670C" w:rsidP="00F7670C">
      <w:pPr>
        <w:numPr>
          <w:ilvl w:val="0"/>
          <w:numId w:val="18"/>
        </w:numPr>
        <w:ind w:right="-360"/>
        <w:rPr>
          <w:rFonts w:ascii="Helvetica" w:eastAsia="Times New Roman" w:hAnsi="Helvetica" w:cs="Helvetica"/>
          <w:color w:val="23292F"/>
          <w:sz w:val="20"/>
          <w:szCs w:val="20"/>
        </w:rPr>
      </w:pPr>
      <w:r w:rsidRPr="00F7670C">
        <w:rPr>
          <w:rFonts w:ascii="Helvetica" w:eastAsia="Times New Roman" w:hAnsi="Helvetica" w:cs="Helvetica"/>
          <w:color w:val="23292F"/>
          <w:sz w:val="20"/>
          <w:szCs w:val="20"/>
        </w:rPr>
        <w:t>Communication skills that can avoid escalation and facilitate de-escalation and cooperation.</w:t>
      </w:r>
    </w:p>
    <w:p w14:paraId="1CF343F8" w14:textId="77777777" w:rsidR="005C4401" w:rsidRPr="00B743C5" w:rsidRDefault="005C4401"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737689DA" w14:textId="0A858181" w:rsidR="00B743C5" w:rsidRPr="00B743C5" w:rsidRDefault="006660F9" w:rsidP="00F7670C">
      <w:pPr>
        <w:ind w:left="720" w:right="-360" w:firstLine="720"/>
        <w:rPr>
          <w:b/>
          <w:bCs/>
        </w:rPr>
      </w:pPr>
      <w:r>
        <w:tab/>
      </w:r>
      <w:r>
        <w:tab/>
      </w:r>
      <w:r>
        <w:tab/>
      </w:r>
      <w:r w:rsidR="00037728">
        <w:tab/>
      </w:r>
      <w:r w:rsidR="00037728">
        <w:tab/>
      </w:r>
      <w:r w:rsidR="003B2022">
        <w:rPr>
          <w:b/>
          <w:bCs/>
        </w:rPr>
        <w:t>Presented by:</w:t>
      </w:r>
    </w:p>
    <w:p w14:paraId="25935A25" w14:textId="14131620" w:rsidR="00B743C5" w:rsidRPr="00037728" w:rsidRDefault="00F7670C" w:rsidP="00037728">
      <w:pPr>
        <w:ind w:right="-360"/>
        <w:jc w:val="center"/>
        <w:rPr>
          <w:b/>
          <w:bCs/>
          <w:sz w:val="32"/>
          <w:szCs w:val="32"/>
          <w:u w:val="single"/>
        </w:rPr>
      </w:pPr>
      <w:bookmarkStart w:id="1" w:name="_Hlk148004089"/>
      <w:r>
        <w:rPr>
          <w:b/>
          <w:bCs/>
          <w:sz w:val="32"/>
          <w:szCs w:val="32"/>
          <w:u w:val="single"/>
        </w:rPr>
        <w:t>Calibre Press</w:t>
      </w:r>
    </w:p>
    <w:bookmarkEnd w:id="1"/>
    <w:sectPr w:rsidR="00B743C5" w:rsidRPr="00037728"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6A74"/>
    <w:multiLevelType w:val="multilevel"/>
    <w:tmpl w:val="6BD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6043F4"/>
    <w:multiLevelType w:val="multilevel"/>
    <w:tmpl w:val="6242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D62FA2"/>
    <w:multiLevelType w:val="multilevel"/>
    <w:tmpl w:val="35B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BD47ED"/>
    <w:multiLevelType w:val="multilevel"/>
    <w:tmpl w:val="1B5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7"/>
  </w:num>
  <w:num w:numId="4">
    <w:abstractNumId w:val="0"/>
  </w:num>
  <w:num w:numId="5">
    <w:abstractNumId w:val="7"/>
  </w:num>
  <w:num w:numId="6">
    <w:abstractNumId w:val="9"/>
  </w:num>
  <w:num w:numId="7">
    <w:abstractNumId w:val="6"/>
  </w:num>
  <w:num w:numId="8">
    <w:abstractNumId w:val="15"/>
  </w:num>
  <w:num w:numId="9">
    <w:abstractNumId w:val="8"/>
  </w:num>
  <w:num w:numId="10">
    <w:abstractNumId w:val="16"/>
  </w:num>
  <w:num w:numId="11">
    <w:abstractNumId w:val="14"/>
  </w:num>
  <w:num w:numId="12">
    <w:abstractNumId w:val="10"/>
  </w:num>
  <w:num w:numId="13">
    <w:abstractNumId w:val="1"/>
  </w:num>
  <w:num w:numId="14">
    <w:abstractNumId w:val="11"/>
  </w:num>
  <w:num w:numId="15">
    <w:abstractNumId w:val="12"/>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310"/>
    <w:rsid w:val="00217D1B"/>
    <w:rsid w:val="0027099D"/>
    <w:rsid w:val="00286509"/>
    <w:rsid w:val="002D2011"/>
    <w:rsid w:val="002E1B92"/>
    <w:rsid w:val="00300021"/>
    <w:rsid w:val="00365F6D"/>
    <w:rsid w:val="003B2022"/>
    <w:rsid w:val="0046087B"/>
    <w:rsid w:val="00497CEF"/>
    <w:rsid w:val="00511B6C"/>
    <w:rsid w:val="005C4401"/>
    <w:rsid w:val="006660F9"/>
    <w:rsid w:val="00704010"/>
    <w:rsid w:val="007652D6"/>
    <w:rsid w:val="00775591"/>
    <w:rsid w:val="00792A8D"/>
    <w:rsid w:val="008021C9"/>
    <w:rsid w:val="0086209E"/>
    <w:rsid w:val="008C0447"/>
    <w:rsid w:val="00920F07"/>
    <w:rsid w:val="00932017"/>
    <w:rsid w:val="009633EB"/>
    <w:rsid w:val="009A4718"/>
    <w:rsid w:val="00A06224"/>
    <w:rsid w:val="00A64FAD"/>
    <w:rsid w:val="00AF220C"/>
    <w:rsid w:val="00B743C5"/>
    <w:rsid w:val="00BC384D"/>
    <w:rsid w:val="00C34A29"/>
    <w:rsid w:val="00CC74BD"/>
    <w:rsid w:val="00D43954"/>
    <w:rsid w:val="00DA4661"/>
    <w:rsid w:val="00E70E71"/>
    <w:rsid w:val="00E83D08"/>
    <w:rsid w:val="00EB41C5"/>
    <w:rsid w:val="00F57040"/>
    <w:rsid w:val="00F7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391463803">
      <w:bodyDiv w:val="1"/>
      <w:marLeft w:val="0"/>
      <w:marRight w:val="0"/>
      <w:marTop w:val="0"/>
      <w:marBottom w:val="0"/>
      <w:divBdr>
        <w:top w:val="none" w:sz="0" w:space="0" w:color="auto"/>
        <w:left w:val="none" w:sz="0" w:space="0" w:color="auto"/>
        <w:bottom w:val="none" w:sz="0" w:space="0" w:color="auto"/>
        <w:right w:val="none" w:sz="0" w:space="0" w:color="auto"/>
      </w:divBdr>
    </w:div>
    <w:div w:id="580332509">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865145099">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20914255">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00447593">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193416970">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EC3A7-1F42-4F96-9C85-57ED63BEC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2024-12-23T16:27:00Z</dcterms:created>
  <dcterms:modified xsi:type="dcterms:W3CDTF">2024-12-23T16:27:00Z</dcterms:modified>
</cp:coreProperties>
</file>